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</w:pPr>
      <w:bookmarkStart w:id="0" w:name="_GoBack"/>
      <w:r w:rsidRPr="002A5186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Інструкція до Табло </w:t>
      </w:r>
      <w:proofErr w:type="spellStart"/>
      <w:r w:rsidR="00437D75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трьохстрочного</w:t>
      </w:r>
      <w:proofErr w:type="spellEnd"/>
      <w:r w:rsidR="00437D75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</w:t>
      </w:r>
      <w:r w:rsidRPr="002A5186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відліков</w:t>
      </w:r>
      <w:r w:rsidR="00437D75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ого</w:t>
      </w:r>
      <w:r w:rsidRPr="002A5186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цифров</w:t>
      </w:r>
      <w:r w:rsidR="00437D75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ого</w:t>
      </w:r>
      <w:r w:rsidRPr="002A5186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ТВЦ-2М (Pr-4.04; b.014″÷”b.020)</w:t>
      </w:r>
    </w:p>
    <w:bookmarkEnd w:id="0"/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Комплект “Табло відлікове цифрове ТВЦ-2М”</w:t>
      </w: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br/>
        <w:t>Посібник з експлуатації ААБЦ 2.106.006 РЕ</w:t>
      </w: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br/>
        <w:t>Програмна версія “Pr-4.04”</w:t>
      </w: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br/>
        <w:t>Програмна збірка “b.014″÷”b.020”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ЗМІСТ</w:t>
      </w:r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5" w:anchor="_Toc460253842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Загальні відомості про виріб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2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6" w:anchor="_Toc460253843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Основні технічні дані та характеристики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2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7" w:anchor="_Toc460253844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Підготовка до роботи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2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8" w:anchor="_Toc460253845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Виведення сервісної інформації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3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9" w:anchor="_Toc460253846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Програмування блоку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3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0" w:anchor="_Toc460253847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Технологічні перемички контролера №36…38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4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1" w:anchor="_Toc460253848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Параметри контролера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4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2" w:anchor="_Toc460253849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Програмування індикатора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5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3" w:anchor="_Toc460253850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Налаштування дискретності датчика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5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4" w:anchor="_Toc460253851" w:history="1">
        <w:proofErr w:type="spellStart"/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Калібровка</w:t>
        </w:r>
        <w:proofErr w:type="spellEnd"/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вимірювача об’єму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6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5" w:anchor="_Toc460253852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Автоматичне налаштування дискретності та </w:t>
        </w:r>
        <w:proofErr w:type="spellStart"/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калібровка</w:t>
        </w:r>
        <w:proofErr w:type="spellEnd"/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6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6" w:anchor="_Toc460253853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Лічильник «Кількість вимірювань дискретності датчика»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6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7" w:anchor="_Toc460253854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Автономний/Ручний режим роботи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.. 6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8" w:anchor="_Toc460253855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Налаштування управління клапанами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7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9" w:anchor="_Toc460253856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Автоматич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не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на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лаштування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від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ключен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н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я мотор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у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(Режим р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о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бот</w:t>
        </w:r>
        <w:r w:rsidR="00FD5EF1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и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без клапан</w:t>
        </w:r>
        <w:r w:rsidR="003A5814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і</w:t>
        </w:r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в)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 7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0" w:anchor="_Toc460253857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Перегляд фіскального лічильника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8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1" w:anchor="_Toc460253858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Помилки та </w:t>
        </w:r>
        <w:proofErr w:type="spellStart"/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збої</w:t>
        </w:r>
        <w:proofErr w:type="spellEnd"/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 xml:space="preserve"> в роботі блока.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 9</w:t>
        </w:r>
      </w:hyperlink>
    </w:p>
    <w:p w:rsidR="002A5186" w:rsidRPr="002A5186" w:rsidRDefault="002A5186" w:rsidP="002A5186">
      <w:pPr>
        <w:numPr>
          <w:ilvl w:val="0"/>
          <w:numId w:val="2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2" w:anchor="_Toc460253859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Функціональні схеми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.. 10</w:t>
        </w:r>
      </w:hyperlink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3" w:anchor="_Toc460253860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18.1 Виведення табло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10</w:t>
        </w:r>
      </w:hyperlink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4" w:anchor="_Toc460253861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18.2 Підключення силових ланцюгів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11</w:t>
        </w:r>
      </w:hyperlink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5" w:anchor="_Toc460253862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18.3 Підключення датчиків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11</w:t>
        </w:r>
      </w:hyperlink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26" w:anchor="_Toc460253863" w:history="1">
        <w:r w:rsidRPr="002A5186">
          <w:rPr>
            <w:rFonts w:ascii="Helvetica" w:eastAsia="Times New Roman" w:hAnsi="Helvetica" w:cs="Helvetica"/>
            <w:b/>
            <w:bCs/>
            <w:color w:val="3DAD66"/>
            <w:sz w:val="24"/>
            <w:szCs w:val="24"/>
            <w:lang w:eastAsia="uk-UA"/>
          </w:rPr>
          <w:t>18.4 Плати контролера табло</w:t>
        </w:r>
        <w:r w:rsidRPr="002A5186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. 12</w:t>
        </w:r>
      </w:hyperlink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" w:name="_Toc460253842"/>
      <w:bookmarkStart w:id="2" w:name="_Toc154901062"/>
      <w:bookmarkEnd w:id="1"/>
      <w:bookmarkEnd w:id="2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Загальні відомості про виріб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Комплект “Табло Відлікове Цифрове (ТВЦ-2М)” визнано типом засобів вимірювальної техніки, реєстраційний номер У3281-12.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Комплект встановлюють 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паливороздавальних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колонках (ПРК) для відпуску нафтопродуктів і скрапленого газу, на автозаправних станціях (АЗС).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Блок забезпечує відпуск замовленої дози в режимі реального часу через один паливний кран, керування гідравлічним блоком ПРК, обчислення та індикацію об’єму й суми виданої дози палива, підрахунок сумарного об’єму виданого палива.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Блок виготовлено відповідно до конструкторської документації ААБЦ_5.106.001 і за технічними характеристиками відповідає вимогам ТУ У 24734853.001-2000.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" w:name="_Toc460253843"/>
      <w:bookmarkStart w:id="4" w:name="_Toc158182646"/>
      <w:bookmarkEnd w:id="3"/>
      <w:bookmarkEnd w:id="4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Основні технічні дані та характеристики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3"/>
        <w:gridCol w:w="6927"/>
      </w:tblGrid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Кількість розрядів індикації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– вартості дози палива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– обсягу разової дози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– ціни палива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6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5…6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Можливість підключення до спеціалізованих контрольно-касових систем (СККС):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«Марія -ЛТ -МТМ» 302, 305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«DATECS» ND-777, ND-797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«Міні 500.03 АЗС»,  «Т&amp;Т POS»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«Калина МА-01»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Тип зв’язку: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RS-485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Швидкість зв’язку: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9600 / 19200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Можливість підключення до індикаторів ПРК*: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трььохстрочні</w:t>
            </w:r>
            <w:proofErr w:type="spellEnd"/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MRS-320, MRS-330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однострочні</w:t>
            </w:r>
            <w:proofErr w:type="spellEnd"/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MRS-321, MRS-322, MRS-331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Межі допустимої відносної похибки при обчисленні та індикації обсягу відпущеного палива: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± 0,1%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Ціна одиниці найменшого розряду електромеханічного лічильника сумарного обліку палива: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л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Напруга живлення:</w:t>
            </w:r>
          </w:p>
        </w:tc>
        <w:tc>
          <w:tcPr>
            <w:tcW w:w="36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220В±10 %, 50±0,1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Гц</w:t>
            </w:r>
            <w:proofErr w:type="spellEnd"/>
          </w:p>
        </w:tc>
      </w:tr>
      <w:tr w:rsidR="002A5186" w:rsidRPr="002A5186" w:rsidTr="002A5186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Потужність споживання: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– з одностороннім табло, не більше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– з двостороннім табло, не більше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12 ВА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24 ВА</w:t>
            </w:r>
          </w:p>
        </w:tc>
      </w:tr>
    </w:tbl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* Тип індикатора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уточнюється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під час замовлення.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5" w:name="_Toc460253844"/>
      <w:bookmarkStart w:id="6" w:name="_Toc158182647"/>
      <w:bookmarkEnd w:id="5"/>
      <w:bookmarkEnd w:id="6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Підготовка до роботи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Встановити блок у конструкції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паливороздавальної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колонки відповідно до конструкторської документації на колонку і вимог безпеки. Комплект поставляється в конструктивному виконанні під замовлений споживачем тип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паливороздавальної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колонки.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Перед установленням блока необхідно переконатися в наявності підключення каркаса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паливороздавальної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колонки до контуру заземлення АЗС. Відсутність контуру заземлення може призвести до порушень правильного функціонування модуля.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Експлуатація блока на ПРК, не під’єднаних до контуру заземлення, ЗАБОРОНЕНА.</w:t>
      </w:r>
    </w:p>
    <w:p w:rsidR="002A5186" w:rsidRPr="002A5186" w:rsidRDefault="002A5186" w:rsidP="002A5186">
      <w:pPr>
        <w:numPr>
          <w:ilvl w:val="0"/>
          <w:numId w:val="2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7" w:name="_Toc460253845"/>
      <w:bookmarkEnd w:id="7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Виведення сервісної інформації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Під час увімкнення живлення, а також під час виходу з режиму програмування на індикаторне табло ПРК послідовно виводиться сервісна інформація: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Pr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4.04 – Версія програмного забезпечення;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b.018 – Номер збірки програмного забезпечення;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C.0000 – Кількість змін параметрів № 1…11, що відповідають за калібрування дози. Це значення вноситься до формуляра ПРК і контролюється метрологічною службою, що здійснює повірку.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L.0000 – Залишок десятків куб. літрів до проведення сервісного обслуговування. Виводиться тільки в тому разі, якщо було встановлено ліміт на сервісне обслуговування.</w:t>
      </w:r>
    </w:p>
    <w:p w:rsidR="002A5186" w:rsidRPr="002A5186" w:rsidRDefault="002A5186" w:rsidP="002A5186">
      <w:pPr>
        <w:numPr>
          <w:ilvl w:val="0"/>
          <w:numId w:val="2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8" w:name="_Toc460253846"/>
      <w:bookmarkStart w:id="9" w:name="_Toc157942283"/>
      <w:bookmarkEnd w:id="8"/>
      <w:bookmarkEnd w:id="9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Програмування блоку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розблокування режиму програмування необхідно замкнути перемичку № 36 “Дозвіл програмування”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трирядкових індикаторах номер параметра виводиться у верхньому рядку, значення параметра в середньому рядку.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На однорядкових індикаторах у вигляді – “номер. значення”.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Програмування клавіатурою керування: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Вхід у режим програмування – одночасно 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“1” “2” “3”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Вибір номера параметра: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“4” / “6” – попередній / наступний параметр;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Зміна значення параметра: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“7” / “9” – зменшення / збільшення значення параметра;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“#” – збільшення значення параметра на +25;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“*” –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обнулення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значення параметра;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Вихід із режиму програмування зі збереженням – одночасно 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“1” “2” “3”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Вихід з режиму програмування без збереження нових параметрів – вимкнути живлення блока.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Програмування сервісною клавіатурою: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Вхід у режим програмування – одночасно 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“-П” і “+П”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Вибір номера параметра: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“-П” / “+П” – попередній / наступний параметр;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Зміна значення параметра: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“-” / “+” – зменшення / збільшення значення параметра;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“Х” – збільшення значення параметра на +25;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“С” –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обнулення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Вихід із режиму програмування зі збереженням – одночасно 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“-П” і “+П”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Вихід з режиму програмування без збереження нових параметрів – вимкнути живлення блока.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* Написи на кнопках наведені умовно і під час виготовлення клавіатури можуть відрізнятися від наведених вище.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Параметри № 6…10 можуть набувати від’ємного значення. На однорядковому індикаторі LED(5) від’ємне значення позначається крапкою в молодшому розряді.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Приклад: 06.005 – позитивне значення / 06.005. – від’ємне.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Параметри № 34…35 представляють бітові поля. Значення цих параметрів представляє суму опцій.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Приклад: параметр № 35 = 12 – вимкнено помилки крана (+4) і датчика (+8).</w:t>
      </w:r>
    </w:p>
    <w:p w:rsidR="002A5186" w:rsidRPr="002A5186" w:rsidRDefault="002A5186" w:rsidP="002A5186">
      <w:pPr>
        <w:numPr>
          <w:ilvl w:val="0"/>
          <w:numId w:val="2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0" w:name="_Toc460253847"/>
      <w:bookmarkEnd w:id="10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Технологічні перемички контролера №36…38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Контролер MRS-554 має перемички, які розташовані поруч із процесором і нумеруються за номерами його виводів.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Перемичка №36 – встановлення перемички (замикання) переводить контролер у режим “Дозвіл програмування”.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Перемичка №37 – встановлення перемички (замикання) переводить контролер у ручний режим роботи “Налив за зняттям крана”.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Перемичка №38 – встановлення перемички (замикання) переводить контролер у режим ініціалізації незалежної пам’яті “Встановлення заводських значень” під час увімкнення живлення. У режимі програмування дозволяє змінювати тип індикатора (параметр №0).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Установку перемичок проводити за вимкненого живлення блока!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1" w:name="_Toc460253848"/>
      <w:bookmarkStart w:id="12" w:name="_Toc343264804"/>
      <w:bookmarkEnd w:id="11"/>
      <w:bookmarkEnd w:id="12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Параметри контролера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5410"/>
        <w:gridCol w:w="2071"/>
        <w:gridCol w:w="3176"/>
        <w:gridCol w:w="3488"/>
        <w:gridCol w:w="1198"/>
      </w:tblGrid>
      <w:tr w:rsidR="002A5186" w:rsidRPr="002A5186" w:rsidTr="002A5186">
        <w:trPr>
          <w:tblHeader/>
          <w:tblCellSpacing w:w="15" w:type="dxa"/>
        </w:trPr>
        <w:tc>
          <w:tcPr>
            <w:tcW w:w="525" w:type="dxa"/>
            <w:shd w:val="clear" w:color="auto" w:fill="auto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bookmarkStart w:id="13" w:name="_Toc154901071"/>
            <w:bookmarkEnd w:id="13"/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4125" w:type="dxa"/>
            <w:gridSpan w:val="2"/>
            <w:shd w:val="clear" w:color="auto" w:fill="auto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Допустимі значення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 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0.                     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Тип індикатора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LCD/LED(6/6/4);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 (6/5/4)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LCD(6);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LED(6);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LED(5)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1.                     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Дискретність лічильного імпульсу,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(X * 0.1)мл.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6.                     </w:t>
            </w:r>
          </w:p>
        </w:tc>
        <w:tc>
          <w:tcPr>
            <w:tcW w:w="3360" w:type="dxa"/>
            <w:vMerge w:val="restart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Корекція дози, ±(Х*5)мл. на 10л.</w:t>
            </w: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-128…127</w:t>
            </w:r>
          </w:p>
        </w:tc>
        <w:tc>
          <w:tcPr>
            <w:tcW w:w="720" w:type="dxa"/>
            <w:vMerge w:val="restart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8.                     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9.                     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10.                  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Датчик (“S” вхід SIN, “C” вхід COS, “SF”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синф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датчик, “1…4” – кількість лічильних імпульсів у періоді)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” Емуляція Датчика “;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“S1”;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” S2″;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” C1″;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” C2″;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“S1+C1”; 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-“S2+C2”;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-“SC1”;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-“SC2”;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-“SC4”;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“SF1”;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“SF2”;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“SF4”;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12.                  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Антидребезг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датчика, (Х*0.1)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0…127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13.                  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Затримка увімкнення двигуна після пуску,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0…60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14.                  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Затримка виведення наливу на табло, (Х*10) мл.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7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Час очікування рахункових імпульсів з датчика під час затримки виведення наливу на табло,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16.                  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Час очікування лічильних імпульсів із датчика,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Скидання незатиснутого крана,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.; 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18.                  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Налаштування керування Мотором / Клапанами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мотор (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автоналаштування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вимкнення)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1 – клапан великої протоки,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2 – імпульсний клапан малого протоку,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– клапан великої протоки, (Х*10) мл.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6 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імп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клапан малої протоки, (Х*10) мл.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8 – комутатор лічильних імпульсів для ПДУ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Затримка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великої протоки, (Х*10) мл.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0=OFF  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20.                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Час без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зч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імп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. до відключення великої протоки, Х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21.                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Зниження витрат наприкінці транзакції,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(Х*10)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мсек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./мл.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Перенавчання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автоналаштування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вимкнення, Х хв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22.                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23.                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24.                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25.                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26.                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Довжина імпульсу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імп.клапана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, (1+Х)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Округлення замовлення на “ГРОШІ”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 “+”;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арифметичнон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в “-“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28.                  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Формат грошей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“X”;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X.x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X.xx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Формат літрів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“X”;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X.x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”;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“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X.xx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30.                  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Робота по всім протоколам;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MRS (ХАКО);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ND (DATECS);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UNIPUMP (T&amp;T);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Номер ПРК (зв’язок з касою по RS-485)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1…16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32.                  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Швидкість обміну контролера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1200;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2400;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4800;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9600;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19200;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5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38400;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76800; </w:t>
            </w: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115200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3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33.                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Таймаут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активності на шині RS485, (Х*10)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ms</w:t>
            </w:r>
            <w:proofErr w:type="spellEnd"/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50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34.                  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Налив за зняттям крана (Ручний Режим)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Підстановка Замовлення “ГРОШІ”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виккорист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Режим автоматичного калібрування датчиків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Інверсія виходу ПДУ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Тест індикатора перед новою дозою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Зняття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т.р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крана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Показати швидкість наливу</w:t>
            </w:r>
          </w:p>
        </w:tc>
        <w:tc>
          <w:tcPr>
            <w:tcW w:w="19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по замиканню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+8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+16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+32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+64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по розмиканню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+128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+0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Активувати клавіатуру для набору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кн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“*”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Замовлення “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ПовнийБак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” активує клавіатуру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Замовлення активує клавіатуру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E13 (кран повішений до кінця транзакції)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E09, E10, E11 (помилки датчика)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Передання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фіск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рах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у протоколі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Закрити звіт через 15сек (аварійне закриття)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використ.м</w:t>
            </w:r>
            <w:proofErr w:type="spellEnd"/>
          </w:p>
        </w:tc>
        <w:tc>
          <w:tcPr>
            <w:tcW w:w="19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0 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Виводити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Виводити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Передавати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 Вимкнути.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–</w:t>
            </w:r>
          </w:p>
        </w:tc>
        <w:tc>
          <w:tcPr>
            <w:tcW w:w="216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+8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+16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+32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+64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+128</w:t>
            </w: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36.                </w:t>
            </w:r>
          </w:p>
        </w:tc>
        <w:tc>
          <w:tcPr>
            <w:tcW w:w="3360" w:type="dxa"/>
            <w:vMerge w:val="restart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Визначення/Обмеження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дози “Повний Бак”</w:t>
            </w:r>
          </w:p>
        </w:tc>
        <w:tc>
          <w:tcPr>
            <w:tcW w:w="127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37.                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38.                </w:t>
            </w:r>
          </w:p>
        </w:tc>
        <w:tc>
          <w:tcPr>
            <w:tcW w:w="463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Компенсація недоливу, (Х*10) мл.</w:t>
            </w:r>
          </w:p>
        </w:tc>
        <w:tc>
          <w:tcPr>
            <w:tcW w:w="4125" w:type="dxa"/>
            <w:gridSpan w:val="2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Компенсація переливу, (Х*10) мл.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Обсяг мірної ємності для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автокалібрування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X літ.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254 (255 – вимкнути відстеження переливу)мм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1…50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10</w:t>
            </w:r>
          </w:p>
        </w:tc>
      </w:tr>
    </w:tbl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4" w:name="_Toc460253849"/>
      <w:bookmarkEnd w:id="14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Програмування Індикатора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розблокування режиму програмування необхідно замкнути перемичку № 36 “Дозвіл програмування”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Для розблокування режиму програмування типу індикатора необхідно замкнути перемичку № 38 “Установка заводських значень”.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Контролер “MRS-554” може працювати з різними </w:t>
      </w:r>
      <w:proofErr w:type="spellStart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тапами</w:t>
      </w:r>
      <w:proofErr w:type="spellEnd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індикаторів: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0 – LCD/LED (6/6/4) – трирядковий індикатор “MRS-330”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1 – LED (6/5/4) – трирядковий світлодіодний індикатор (5 цифр у рядку літрів) “MRS-320”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2 – LCD(6) – однорядковий РКІ індикатор “MRS-331”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3 – LED(6) – однорядковий світлодіодний індикатор “MRS-322”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4 – LED(5) – однорядковий світлодіодний індикатор (5 цифр у рядку літрів) “MRS-321”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Після увімкнення живлення і виведення на індикатор сервісної інформації проводиться тест сегментів індикатора (виводяться цифри від 0 до 9).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Для програмування іншого типу індикатора під час тесту сегментів: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клавіатурі керування натиснути цифру, що відповідає типу підключеного індикатора.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 xml:space="preserve">на сервісній клавіатурі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“+” “-” вибрати відповідний тип індикатора.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Також тип індикатора можна змінити в режимі програмування (параметр № 0)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2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5" w:name="_Toc460253850"/>
      <w:bookmarkEnd w:id="15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Встановлення дискретності датчика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Установити значення параметрів: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1…5 = 100 (Дискретність лічильного імпульсу)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6…10 = 0 (Корекція дози)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№ 11 = 10 (Датчик)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Провести налив у мірну ємність (у режимі “до повного бака”).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10л мірної ємності поділити 1000 на показання індикатора (Приклад: 1000/16.35≈61).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20л мірної ємності поділити 2000 на показання індикатора (Приклад: 2000/32.72≈61).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Отримане значення встановити у відповідний параметр для даного крана № 1…5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Якщо отримане значення перевищує 100 (Приклад: 1000/8.35≈119), необхідно змінити параметр № 11 (вибрати датчик із більшою кількістю лічильних імпульсів у періоді)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 № 11 = 10 встановити № 11 = 11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Встановлені раніше значення в параметрах № 1…5 зменшити в 2 рази (Наприклад: параметр № 1 = 61 змінити на 30; Для поточного крана, замість отриманого значення 119 встановити 59).</w:t>
      </w:r>
    </w:p>
    <w:p w:rsidR="002A5186" w:rsidRPr="002A5186" w:rsidRDefault="002A5186" w:rsidP="002A5186">
      <w:pPr>
        <w:numPr>
          <w:ilvl w:val="0"/>
          <w:numId w:val="2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6" w:name="_Toc460253851"/>
      <w:bookmarkStart w:id="17" w:name="_Toc326076946"/>
      <w:bookmarkEnd w:id="16"/>
      <w:bookmarkEnd w:id="17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Калібрування вимірювача об’єму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Калібрування вимірювача об’єму проводиться параметрами № 6…10 (Корекція дози) для кожного крана з розрахунку ±10мл на 20л.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Збільшення значення відповідного параметра на 1 – збільшує об’єм на 10 мл.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Зменшення на 1 – зменшує об’єм на 10мл.</w:t>
      </w:r>
    </w:p>
    <w:p w:rsidR="002A5186" w:rsidRPr="002A5186" w:rsidRDefault="002A5186" w:rsidP="002A5186">
      <w:pPr>
        <w:numPr>
          <w:ilvl w:val="0"/>
          <w:numId w:val="2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8" w:name="_Toc460253852"/>
      <w:bookmarkStart w:id="19" w:name="_Toc460244332"/>
      <w:bookmarkEnd w:id="18"/>
      <w:bookmarkEnd w:id="19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Автоматичне налаштування дискретності та калібрування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Встановити значення параметра № 11 (Датчик), що відповідає підключеному датчику.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Встановити значення параметра № 34 (Режим автоматичного калібрування датчиків) – Увімкнути.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Встановити параметр №39 (Об’єм мірної ємності для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автокалібрування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Провести налив у мірну ємність за кожним краном (доза для відпуску повинна перевищувати обсяг мірної ємності). Налив зупинити за мірником повісивши кран або командою СТОП.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Встановити значення параметра № 34 (Режим автоматичного калібрування датчиків) –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Викл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0" w:name="_Toc460253853"/>
      <w:bookmarkEnd w:id="20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lastRenderedPageBreak/>
        <w:t>Лічильник “кількість змін дискретності датчика”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Лічильник фіксує кількість змін параметрів № 1…11, що відповідають за калібрування дози.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виході з режиму програмування значення лічильника “кількість змін дискретності датчика” збільшиться на 1.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Значення лічильника “кількість змін дискретності датчика” виводиться на індикаторне табло ПРК під час увімкнення живлення, а також під час виходу з режиму програмування.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Після завершення КОРЕКЦІЇ ДОЗИ нове значення лічильника повинно бути </w:t>
      </w:r>
      <w:proofErr w:type="spellStart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внесено</w:t>
      </w:r>
      <w:proofErr w:type="spellEnd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до формуляра ПРК і завізовано представником метрологічної служби, що проводить повірку </w:t>
      </w:r>
      <w:proofErr w:type="spellStart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пРК</w:t>
      </w:r>
      <w:proofErr w:type="spellEnd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1" w:name="_Toc460253854"/>
      <w:bookmarkStart w:id="22" w:name="_Toc323132421"/>
      <w:bookmarkEnd w:id="21"/>
      <w:bookmarkEnd w:id="22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Автономний/Ручний режим роботи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Ручний режим встановлюється: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– апаратно, при вимкненому живленні встановити перемичку №37;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– програмно, змінити значення параметра “Налив після зняття крана (Ручний Режим)”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Автономний режим встановлюється програмно, змінити значення параметра “Активувати клавіатуру для набору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“*”””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Кран повішений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“0” – Вхід у режим “Перегляд Фіскальних Лічильників”.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“*” &amp; “1” … “*” &amp; “5” – Вхід у режим “Установка Ціни” для 1…5 крана.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Кран знято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У ручному режимі ПРК автоматично запускається під час виймання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паливороздавального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крана з гнізда. Для завершення транзакції вставити кран у гніздо.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“*” – Активувати набір дози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Набір дози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“*” &amp; “0” – Перехід у режим набору цілої/дробової дози.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“0” … “9” – Набір дози.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“*” – Скидання набраної дози / Перемикання режиму набору Дози-Суми.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“#” – Пуск (без набору дози пуск в режимі “Повний Бак”)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Налив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“*” – Пауза (повторне натискання Стоп).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“#” – Пуск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Встановлення ціни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Ціни, встановлені в ручному режимі, зберігаються тільки для ручного режиму і до підключення контролера до СККС.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Утримуючи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“*” 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“1” … “5” для відповідного крана.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Набрати нову ціну.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Натиснути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“#” для збереження ціни для цього крана.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Перегляд Фіскальних Лічильників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“1” … “5” – Вибір лічильника для 1…5 крана.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“#” … “*” – Зсув лічильника для перегляду старших розрядів (при використанні однорядкових індикаторів).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“0” – Вихід з режиму “Перегляд Фіскальних Лічильників”.</w:t>
      </w:r>
    </w:p>
    <w:p w:rsidR="002A5186" w:rsidRPr="002A5186" w:rsidRDefault="002A5186" w:rsidP="002A5186">
      <w:pPr>
        <w:numPr>
          <w:ilvl w:val="0"/>
          <w:numId w:val="3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3" w:name="_Toc460253855"/>
      <w:bookmarkEnd w:id="23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Налаштування керування клапанами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Робота клапанами налаштовується в параметрах № 18…26.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 № 18 (Налаштування керування Мотором/Клапанами) – задає режими роботи реле керування пускачем мотора, реле керування клапаном зниження витрати (великої протоки):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Реле керування мотором у всіх режимах (крім 0 –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автоналаштування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вимкнення) замикається на початку транзакції, розмикається після досягнення заданої дози.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1 – клапан великої протоки, Х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мсек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– момент розмикання реле управління клапаном великої протоки задається параметрами № 21…25 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мілісекундах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2 – імпульсний клапан малого протоку, Х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мсек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– момент замикання реле керування клапаном малої протоки задається параметрами № 21…25 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мілісекундах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Час, на який реле замкнеться, задається параметром № 26.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5 – клапан великої протоки, (Х*10) мл. – момент розмикання реле керування клапаном великої протоки задається параметрами № 21…25 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мілілітрах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6 –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імп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клапан малого протоку, (Х*10) мл. – момент замикання реле керування клапаном малої протоки задається параметрами № 21…25 у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мілілітрах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Час, на який реле замкнеться, задається параметром № 26.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8 – комутатор рахункових імпульсів для ПДК – в імпульсних системах керування через реле КСР комутуються рахункових імпульсів з виходу ПДК.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Параметр № 19 (Затримка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вкл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великого протоку, (Х*10) мл.) – дає змогу задати затримку ввімкнення великого протоку на початку транзакції.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Параметр № 20 (Час без лічильних імпульсів до вимкнення великої протоки, Х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sec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) – дає змогу задати час, через який велика протока вимикається, якщо з датчика перестають надходити лічильні імпульси.</w:t>
      </w:r>
    </w:p>
    <w:p w:rsidR="002A5186" w:rsidRPr="002A5186" w:rsidRDefault="002A5186" w:rsidP="002A5186">
      <w:pPr>
        <w:numPr>
          <w:ilvl w:val="0"/>
          <w:numId w:val="3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4" w:name="_Toc460253856"/>
      <w:bookmarkEnd w:id="24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Автоматичне налаштування вимкнення мотора (Режим роботи без клапанів)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 роботи, за якого ТРК не оснащена клапанами відсічення і зниження витрати.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Встановити параметр № 18 = 0 (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автоналаштування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вимкнення) – реле мотора замикається на початку транзакції, розмикається наприкінці транзакції з урахуванням вибігу ПРК; реле клапана замикається на початку транзакції, розмикається при досягненні заданої дози.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Проконтролювати значення параметрів № 38…39.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 цьому режимі роботи контролер використовує алгоритм передбачення вибігу палива після вимкнення двигуна. Якщо доза виявляється меншою за задану, то контролер повинен увімкнути двигун і провести долив. Однак, навіть короткочасне увімкнення двигуна, призводить до наливу &gt;50мл. (залежно від відкриття крана).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 № 38 (Компенсація недоливу) – задає величину недоливу, за якої контролер не вмикатиме двигун, а підставить задану дозу. Значення вибирається з розрахунку 20 … 50 (мл), що входить в допустиму похибку роботи ПРК.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 № 39 (Компенсація переливу) – задає величину переливу, яка не буде виведена на табло. Значення вибирається з розрахунку {100…200(мл)}.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Параметри № 21…25 (Перенавчання 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автоналаштування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вимкнення) – якщо впродовж заданого часу наливання через кран не здійснювалося, буде зроблено замір параметрів вимкнення.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Провести технологічний пролив (з максимальним відкриттям крана) дози не менше 5 л.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Після наливу 2 л відбудеться вимкнення двигуна і замір параметрів вимкнення, після чого налив буде продовжено.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5" w:name="_Toc460253857"/>
      <w:bookmarkEnd w:id="25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Перегляд фіскального лічильника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Контролер MRS-554 веде фіскальний облік літрів по кожному крану. Розмір “Фіскального Лічильника” становить 12 розрядів для кожного крана з дискретністю 10мл.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За відсутності клавіатури керування для перегляду “Фіскальних лічильників” – замкнути вхід “Перегляд Фіскальних Лічильників”.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Перебір “Фіскальних Лічильників” для 2…5 крана (контролер MRS-554/202) здійснюється повторним замиканням входу “Перегляд Фіскальних Лічильників”.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Під час відображення “Фіскального Лічильника” кожні 1000 літрів (</w:t>
      </w:r>
      <w:proofErr w:type="spellStart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куб.л</w:t>
      </w:r>
      <w:proofErr w:type="spellEnd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) відокремлені миготливою крапкою.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При використанні трирядкових індикаторів: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Графа “Сума” – старші розряди “Фіскального Лічильника”,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Графа “Літри” – молодші розряди “Фіскального Лічильника”,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Графа “Ціна” – номер лічильника (крана) F1…F5.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При використанні однорядкових індикаторів: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2сек. виводиться номер лічильника (крана) F1…F5,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На 4сек. виводяться старші розряди (починаючи з 12 розряду),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Кожні 4сек. здійснюється зсув лічильника на 1 розряд у бік молодших розрядів.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6" w:name="_Toc460253858"/>
      <w:bookmarkEnd w:id="26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 xml:space="preserve">Помилки та </w:t>
      </w:r>
      <w:proofErr w:type="spellStart"/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збої</w:t>
      </w:r>
      <w:proofErr w:type="spellEnd"/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 xml:space="preserve"> в роботі блоку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5159"/>
      </w:tblGrid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Код</w:t>
            </w:r>
          </w:p>
          <w:p w:rsidR="002A5186" w:rsidRPr="002A5186" w:rsidRDefault="002A5186" w:rsidP="002A51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помилки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Опис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E01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параметрів контролера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E02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фіскальних лічильників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збереження робочих величин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E04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в роботі кварцового резонатора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E07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щодо живлення під час наливу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E08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Втрата зв’язку з касою під час наливу (Параметр № 33)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E09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датчика (обертання назад)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E10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датчика (обрив фази)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датчика (неправильна послідовність імпульсів)Помилка датчика (неправильна послідовність імпульсів)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E12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Відсутність імпульсів з датчика (Параметр № 15…16)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Кран повішений до кінця транзакції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Е14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Налив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зупинено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клавіатурою (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кн</w:t>
            </w:r>
            <w:proofErr w:type="spellEnd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“*”)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Е15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Потрібне сервісне обслуговування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Е16</w:t>
            </w:r>
          </w:p>
        </w:tc>
        <w:tc>
          <w:tcPr>
            <w:tcW w:w="7380" w:type="dxa"/>
            <w:shd w:val="clear" w:color="auto" w:fill="FEFEFE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Помилка автоматичного калібрування датчика</w:t>
            </w:r>
          </w:p>
        </w:tc>
      </w:tr>
      <w:tr w:rsidR="002A5186" w:rsidRPr="002A5186" w:rsidTr="002A5186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E18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2A5186" w:rsidRPr="002A5186" w:rsidRDefault="002A5186" w:rsidP="002A518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Помилка під час визначення параметрів </w:t>
            </w:r>
            <w:proofErr w:type="spellStart"/>
            <w:r w:rsidRPr="002A5186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автовибігу</w:t>
            </w:r>
            <w:proofErr w:type="spellEnd"/>
          </w:p>
        </w:tc>
      </w:tr>
    </w:tbl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 разі використання трирядкових індикаторів помилки відображаються в графі “Ціна”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 разі використання однорядкових індикаторів помилки відображаються в графі “Літри”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Помилки Е01…Е02 усуваються технічним персоналом споживача.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Вимкнути живлення блока.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Встановити перемичку №38 на платі контролера;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Увімкнути живлення блока;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Вимкнути живлення блока;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Зняти перемичку №38 і встановити перемичку №36;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Увімкнути живлення блока;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Провести програмування блоку.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Вимкнути живлення блоку;</w:t>
      </w: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  <w:t>Зняти перемичку №36.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Помилки Е03…Е04 є попереджувальними.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Вимкнути живлення на 5сек. Якщо після увімкнення живлення ці помилки не зникли, необхідно звернутися до виробника для проведення ремонту.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Помилки Е07…Е14 є попереджувальними.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Ці помилки можуть виникати тільки під час наливу ПРК. Налив припиняється в момент виникнення помилки. Помилка виводитиметься на індикатор протягом 15 секунд після встановлення крана в кишеню ПРК.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Помилка Е15 – необхідно звернутися в сервісний центр для проведення сервісного обслуговування модуля.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Помилка Е16 – кількість імпульсів, отриманих з датчика, не дає змоги розрахувати дискретність лічильного імпульсу і калібрування.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 разі регулярного виникнення помилок Е01…Е04 необхідно звернутися до виробника для проведення ремонту!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7" w:name="_Toc460253859"/>
      <w:bookmarkStart w:id="28" w:name="_Toc157942287"/>
      <w:bookmarkStart w:id="29" w:name="_Toc157932229"/>
      <w:bookmarkEnd w:id="27"/>
      <w:bookmarkEnd w:id="28"/>
      <w:bookmarkEnd w:id="29"/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proofErr w:type="spellStart"/>
      <w:r w:rsidRPr="002A5186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Функциональні</w:t>
      </w:r>
      <w:proofErr w:type="spellEnd"/>
      <w:r w:rsidRPr="002A5186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 xml:space="preserve"> схеми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0" w:name="_Toc460253860"/>
      <w:bookmarkEnd w:id="30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Виведення табло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1" w:name="_Toc460253861"/>
      <w:bookmarkEnd w:id="31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Підключення силових ланцюгів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3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2" w:name="_Toc460253862"/>
      <w:bookmarkEnd w:id="32"/>
      <w:proofErr w:type="spellStart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Піідключення</w:t>
      </w:r>
      <w:proofErr w:type="spellEnd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датчиків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numPr>
          <w:ilvl w:val="0"/>
          <w:numId w:val="40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3" w:name="_Toc460253863"/>
      <w:bookmarkEnd w:id="33"/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Плати контролера табло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lastRenderedPageBreak/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Виведення на друк: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Друк книжки –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Вставити в принтер 4 аркуші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14,0,12,1,10,3,8,5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Переставити всю пачку не перевертаючи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6,7,4,9,2,11,14,13</w:t>
      </w:r>
    </w:p>
    <w:p w:rsidR="002A5186" w:rsidRPr="002A5186" w:rsidRDefault="002A5186" w:rsidP="002A518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2A5186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14,0,12,1,10,3,8,5,6,7,4,9,2,11,14,13</w:t>
      </w:r>
    </w:p>
    <w:p w:rsidR="00A935FD" w:rsidRPr="002A5186" w:rsidRDefault="00A935FD" w:rsidP="002A5186"/>
    <w:sectPr w:rsidR="00A935FD" w:rsidRPr="002A5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B04"/>
    <w:multiLevelType w:val="multilevel"/>
    <w:tmpl w:val="6FE630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03F9"/>
    <w:multiLevelType w:val="multilevel"/>
    <w:tmpl w:val="330CB2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71C2"/>
    <w:multiLevelType w:val="multilevel"/>
    <w:tmpl w:val="D6866E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6EEA"/>
    <w:multiLevelType w:val="multilevel"/>
    <w:tmpl w:val="D2E67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E5FAA"/>
    <w:multiLevelType w:val="multilevel"/>
    <w:tmpl w:val="92566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314A"/>
    <w:multiLevelType w:val="multilevel"/>
    <w:tmpl w:val="3B68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B02AB"/>
    <w:multiLevelType w:val="multilevel"/>
    <w:tmpl w:val="1B8C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051A6"/>
    <w:multiLevelType w:val="multilevel"/>
    <w:tmpl w:val="2A184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92"/>
    <w:multiLevelType w:val="multilevel"/>
    <w:tmpl w:val="6F72E9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C38C3"/>
    <w:multiLevelType w:val="multilevel"/>
    <w:tmpl w:val="AB56A3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A6B0F"/>
    <w:multiLevelType w:val="multilevel"/>
    <w:tmpl w:val="E05248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05D56"/>
    <w:multiLevelType w:val="multilevel"/>
    <w:tmpl w:val="077EEF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A5F3D"/>
    <w:multiLevelType w:val="multilevel"/>
    <w:tmpl w:val="D6EC9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1349E"/>
    <w:multiLevelType w:val="multilevel"/>
    <w:tmpl w:val="8B386A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92BB1"/>
    <w:multiLevelType w:val="multilevel"/>
    <w:tmpl w:val="9BFECE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80931"/>
    <w:multiLevelType w:val="multilevel"/>
    <w:tmpl w:val="893423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3B14A6"/>
    <w:multiLevelType w:val="multilevel"/>
    <w:tmpl w:val="C728C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A0917"/>
    <w:multiLevelType w:val="multilevel"/>
    <w:tmpl w:val="B56456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61D05"/>
    <w:multiLevelType w:val="multilevel"/>
    <w:tmpl w:val="038439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B4BFB"/>
    <w:multiLevelType w:val="multilevel"/>
    <w:tmpl w:val="1D9071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A2067"/>
    <w:multiLevelType w:val="multilevel"/>
    <w:tmpl w:val="9248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53866"/>
    <w:multiLevelType w:val="multilevel"/>
    <w:tmpl w:val="E3C46F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025A2"/>
    <w:multiLevelType w:val="multilevel"/>
    <w:tmpl w:val="EBFA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B74E55"/>
    <w:multiLevelType w:val="multilevel"/>
    <w:tmpl w:val="8DD219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297223"/>
    <w:multiLevelType w:val="multilevel"/>
    <w:tmpl w:val="CFE89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56595"/>
    <w:multiLevelType w:val="multilevel"/>
    <w:tmpl w:val="BC0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D4FC5"/>
    <w:multiLevelType w:val="multilevel"/>
    <w:tmpl w:val="0D20E1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472607"/>
    <w:multiLevelType w:val="multilevel"/>
    <w:tmpl w:val="3460B1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94E7D"/>
    <w:multiLevelType w:val="multilevel"/>
    <w:tmpl w:val="9D5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A272DC"/>
    <w:multiLevelType w:val="multilevel"/>
    <w:tmpl w:val="7D4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CB6E97"/>
    <w:multiLevelType w:val="multilevel"/>
    <w:tmpl w:val="B9D8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5C2390"/>
    <w:multiLevelType w:val="multilevel"/>
    <w:tmpl w:val="E878E4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F105A"/>
    <w:multiLevelType w:val="multilevel"/>
    <w:tmpl w:val="005619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8231D5"/>
    <w:multiLevelType w:val="multilevel"/>
    <w:tmpl w:val="08620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67CFD"/>
    <w:multiLevelType w:val="multilevel"/>
    <w:tmpl w:val="710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1417D"/>
    <w:multiLevelType w:val="multilevel"/>
    <w:tmpl w:val="2356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20556E"/>
    <w:multiLevelType w:val="multilevel"/>
    <w:tmpl w:val="65D28F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971B6"/>
    <w:multiLevelType w:val="multilevel"/>
    <w:tmpl w:val="5BB22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47C69"/>
    <w:multiLevelType w:val="multilevel"/>
    <w:tmpl w:val="2C5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400AB9"/>
    <w:multiLevelType w:val="multilevel"/>
    <w:tmpl w:val="31D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3"/>
  </w:num>
  <w:num w:numId="5">
    <w:abstractNumId w:val="24"/>
  </w:num>
  <w:num w:numId="6">
    <w:abstractNumId w:val="37"/>
  </w:num>
  <w:num w:numId="7">
    <w:abstractNumId w:val="18"/>
  </w:num>
  <w:num w:numId="8">
    <w:abstractNumId w:val="1"/>
  </w:num>
  <w:num w:numId="9">
    <w:abstractNumId w:val="26"/>
  </w:num>
  <w:num w:numId="10">
    <w:abstractNumId w:val="21"/>
  </w:num>
  <w:num w:numId="11">
    <w:abstractNumId w:val="19"/>
  </w:num>
  <w:num w:numId="12">
    <w:abstractNumId w:val="36"/>
  </w:num>
  <w:num w:numId="13">
    <w:abstractNumId w:val="8"/>
  </w:num>
  <w:num w:numId="14">
    <w:abstractNumId w:val="0"/>
  </w:num>
  <w:num w:numId="15">
    <w:abstractNumId w:val="23"/>
  </w:num>
  <w:num w:numId="16">
    <w:abstractNumId w:val="9"/>
  </w:num>
  <w:num w:numId="17">
    <w:abstractNumId w:val="22"/>
  </w:num>
  <w:num w:numId="18">
    <w:abstractNumId w:val="25"/>
  </w:num>
  <w:num w:numId="19">
    <w:abstractNumId w:val="35"/>
  </w:num>
  <w:num w:numId="20">
    <w:abstractNumId w:val="39"/>
  </w:num>
  <w:num w:numId="21">
    <w:abstractNumId w:val="6"/>
  </w:num>
  <w:num w:numId="22">
    <w:abstractNumId w:val="30"/>
  </w:num>
  <w:num w:numId="23">
    <w:abstractNumId w:val="33"/>
  </w:num>
  <w:num w:numId="24">
    <w:abstractNumId w:val="16"/>
  </w:num>
  <w:num w:numId="25">
    <w:abstractNumId w:val="4"/>
  </w:num>
  <w:num w:numId="26">
    <w:abstractNumId w:val="14"/>
  </w:num>
  <w:num w:numId="27">
    <w:abstractNumId w:val="7"/>
  </w:num>
  <w:num w:numId="28">
    <w:abstractNumId w:val="11"/>
  </w:num>
  <w:num w:numId="29">
    <w:abstractNumId w:val="27"/>
  </w:num>
  <w:num w:numId="30">
    <w:abstractNumId w:val="2"/>
  </w:num>
  <w:num w:numId="31">
    <w:abstractNumId w:val="32"/>
  </w:num>
  <w:num w:numId="32">
    <w:abstractNumId w:val="17"/>
  </w:num>
  <w:num w:numId="33">
    <w:abstractNumId w:val="31"/>
  </w:num>
  <w:num w:numId="34">
    <w:abstractNumId w:val="15"/>
  </w:num>
  <w:num w:numId="35">
    <w:abstractNumId w:val="10"/>
  </w:num>
  <w:num w:numId="36">
    <w:abstractNumId w:val="13"/>
  </w:num>
  <w:num w:numId="37">
    <w:abstractNumId w:val="34"/>
  </w:num>
  <w:num w:numId="38">
    <w:abstractNumId w:val="29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86"/>
    <w:rsid w:val="001848A7"/>
    <w:rsid w:val="002A5186"/>
    <w:rsid w:val="003A5814"/>
    <w:rsid w:val="00437D75"/>
    <w:rsid w:val="00A935FD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2CE"/>
  <w15:chartTrackingRefBased/>
  <w15:docId w15:val="{95D43B3E-D6BD-42AB-B70E-C158176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A5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A5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18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A518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A51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2A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2A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5186"/>
    <w:rPr>
      <w:b/>
      <w:bCs/>
    </w:rPr>
  </w:style>
  <w:style w:type="character" w:styleId="a5">
    <w:name w:val="Hyperlink"/>
    <w:basedOn w:val="a0"/>
    <w:uiPriority w:val="99"/>
    <w:semiHidden/>
    <w:unhideWhenUsed/>
    <w:rsid w:val="002A518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A518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522-2/" TargetMode="External"/><Relationship Id="rId13" Type="http://schemas.openxmlformats.org/officeDocument/2006/relationships/hyperlink" Target="https://hako.com.ua/522-2/" TargetMode="External"/><Relationship Id="rId18" Type="http://schemas.openxmlformats.org/officeDocument/2006/relationships/hyperlink" Target="https://hako.com.ua/522-2/" TargetMode="External"/><Relationship Id="rId26" Type="http://schemas.openxmlformats.org/officeDocument/2006/relationships/hyperlink" Target="https://hako.com.ua/522-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ko.com.ua/522-2/" TargetMode="External"/><Relationship Id="rId7" Type="http://schemas.openxmlformats.org/officeDocument/2006/relationships/hyperlink" Target="https://hako.com.ua/522-2/" TargetMode="External"/><Relationship Id="rId12" Type="http://schemas.openxmlformats.org/officeDocument/2006/relationships/hyperlink" Target="https://hako.com.ua/522-2/" TargetMode="External"/><Relationship Id="rId17" Type="http://schemas.openxmlformats.org/officeDocument/2006/relationships/hyperlink" Target="https://hako.com.ua/522-2/" TargetMode="External"/><Relationship Id="rId25" Type="http://schemas.openxmlformats.org/officeDocument/2006/relationships/hyperlink" Target="https://hako.com.ua/522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ko.com.ua/522-2/" TargetMode="External"/><Relationship Id="rId20" Type="http://schemas.openxmlformats.org/officeDocument/2006/relationships/hyperlink" Target="https://hako.com.ua/522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ako.com.ua/522-2/" TargetMode="External"/><Relationship Id="rId11" Type="http://schemas.openxmlformats.org/officeDocument/2006/relationships/hyperlink" Target="https://hako.com.ua/522-2/" TargetMode="External"/><Relationship Id="rId24" Type="http://schemas.openxmlformats.org/officeDocument/2006/relationships/hyperlink" Target="https://hako.com.ua/522-2/" TargetMode="External"/><Relationship Id="rId5" Type="http://schemas.openxmlformats.org/officeDocument/2006/relationships/hyperlink" Target="https://hako.com.ua/522-2/" TargetMode="External"/><Relationship Id="rId15" Type="http://schemas.openxmlformats.org/officeDocument/2006/relationships/hyperlink" Target="https://hako.com.ua/522-2/" TargetMode="External"/><Relationship Id="rId23" Type="http://schemas.openxmlformats.org/officeDocument/2006/relationships/hyperlink" Target="https://hako.com.ua/522-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ko.com.ua/522-2/" TargetMode="External"/><Relationship Id="rId19" Type="http://schemas.openxmlformats.org/officeDocument/2006/relationships/hyperlink" Target="https://hako.com.ua/52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o.com.ua/522-2/" TargetMode="External"/><Relationship Id="rId14" Type="http://schemas.openxmlformats.org/officeDocument/2006/relationships/hyperlink" Target="https://hako.com.ua/522-2/" TargetMode="External"/><Relationship Id="rId22" Type="http://schemas.openxmlformats.org/officeDocument/2006/relationships/hyperlink" Target="https://hako.com.ua/522-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14607</Words>
  <Characters>8327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2</cp:revision>
  <dcterms:created xsi:type="dcterms:W3CDTF">2023-04-12T17:34:00Z</dcterms:created>
  <dcterms:modified xsi:type="dcterms:W3CDTF">2023-04-12T17:34:00Z</dcterms:modified>
</cp:coreProperties>
</file>